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6CF1" w:rsidRDefault="00716CF1" w:rsidP="00716CF1">
      <w:pPr>
        <w:shd w:val="clear" w:color="auto" w:fill="FFFFFF"/>
        <w:ind w:right="566" w:firstLine="227"/>
        <w:jc w:val="both"/>
        <w:rPr>
          <w:rFonts w:ascii="Trebuchet MS" w:hAnsi="Trebuchet MS" w:cs="Arial"/>
          <w:szCs w:val="22"/>
        </w:rPr>
      </w:pPr>
      <w:bookmarkStart w:id="0" w:name="_GoBack"/>
      <w:bookmarkEnd w:id="0"/>
    </w:p>
    <w:tbl>
      <w:tblPr>
        <w:tblW w:w="51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5"/>
        <w:gridCol w:w="1209"/>
        <w:gridCol w:w="1478"/>
        <w:gridCol w:w="7919"/>
        <w:gridCol w:w="1880"/>
        <w:gridCol w:w="669"/>
      </w:tblGrid>
      <w:tr w:rsidR="00716CF1" w:rsidRPr="0082260C" w:rsidTr="004910B4">
        <w:trPr>
          <w:trHeight w:val="120"/>
        </w:trPr>
        <w:tc>
          <w:tcPr>
            <w:tcW w:w="5000" w:type="pct"/>
            <w:gridSpan w:val="6"/>
            <w:shd w:val="clear" w:color="auto" w:fill="EEECE1"/>
          </w:tcPr>
          <w:p w:rsidR="00716CF1" w:rsidRDefault="00716CF1" w:rsidP="004910B4">
            <w:pPr>
              <w:tabs>
                <w:tab w:val="num" w:pos="398"/>
              </w:tabs>
              <w:jc w:val="center"/>
              <w:rPr>
                <w:rFonts w:ascii="Trebuchet MS" w:eastAsia="Calibri" w:hAnsi="Trebuchet MS" w:cs="F2"/>
                <w:b/>
                <w:color w:val="FF0000"/>
              </w:rPr>
            </w:pPr>
          </w:p>
          <w:p w:rsidR="0024200F" w:rsidRDefault="0024200F" w:rsidP="0024200F">
            <w:pPr>
              <w:tabs>
                <w:tab w:val="num" w:pos="398"/>
              </w:tabs>
              <w:jc w:val="center"/>
              <w:rPr>
                <w:rFonts w:ascii="Trebuchet MS" w:eastAsia="Calibri" w:hAnsi="Trebuchet MS" w:cs="F2"/>
                <w:b/>
                <w:color w:val="FF0000"/>
              </w:rPr>
            </w:pPr>
            <w:r>
              <w:rPr>
                <w:rFonts w:ascii="Trebuchet MS" w:eastAsia="Calibri" w:hAnsi="Trebuchet MS" w:cs="F2"/>
                <w:b/>
                <w:color w:val="FF0000"/>
                <w:sz w:val="22"/>
              </w:rPr>
              <w:t>DIDATTICA A DISTANZA</w:t>
            </w:r>
          </w:p>
          <w:p w:rsidR="0024200F" w:rsidRDefault="00716CF1" w:rsidP="0024200F">
            <w:pPr>
              <w:tabs>
                <w:tab w:val="num" w:pos="398"/>
              </w:tabs>
              <w:jc w:val="center"/>
              <w:rPr>
                <w:rFonts w:ascii="Trebuchet MS" w:eastAsia="Calibri" w:hAnsi="Trebuchet MS" w:cs="F2"/>
                <w:b/>
                <w:color w:val="FF0000"/>
              </w:rPr>
            </w:pPr>
            <w:r>
              <w:rPr>
                <w:rFonts w:ascii="Trebuchet MS" w:eastAsia="Calibri" w:hAnsi="Trebuchet MS" w:cs="F2"/>
                <w:b/>
                <w:color w:val="FF0000"/>
                <w:sz w:val="22"/>
              </w:rPr>
              <w:t>G</w:t>
            </w:r>
            <w:r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 xml:space="preserve">riglia di </w:t>
            </w:r>
            <w:r w:rsidR="0024200F">
              <w:rPr>
                <w:rFonts w:ascii="Trebuchet MS" w:eastAsia="Calibri" w:hAnsi="Trebuchet MS" w:cs="F2"/>
                <w:b/>
                <w:color w:val="FF0000"/>
                <w:sz w:val="22"/>
              </w:rPr>
              <w:t>RILEVAZIONE/OSSERVAZIONE PER C</w:t>
            </w:r>
            <w:r w:rsidR="0024200F"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 xml:space="preserve">OMPETENZE </w:t>
            </w:r>
            <w:r w:rsidR="0024200F">
              <w:rPr>
                <w:rFonts w:ascii="Trebuchet MS" w:eastAsia="Calibri" w:hAnsi="Trebuchet MS" w:cs="F2"/>
                <w:b/>
                <w:color w:val="FF0000"/>
                <w:sz w:val="22"/>
              </w:rPr>
              <w:t>C</w:t>
            </w:r>
            <w:r w:rsidR="0024200F"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 xml:space="preserve">HIAVE </w:t>
            </w:r>
            <w:r w:rsidR="0024200F">
              <w:rPr>
                <w:rFonts w:ascii="Trebuchet MS" w:eastAsia="Calibri" w:hAnsi="Trebuchet MS" w:cs="F2"/>
                <w:b/>
                <w:color w:val="FF0000"/>
                <w:sz w:val="22"/>
              </w:rPr>
              <w:t>E</w:t>
            </w:r>
            <w:r w:rsidR="0024200F"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 xml:space="preserve">UROPEE E DI </w:t>
            </w:r>
            <w:r w:rsidR="0024200F">
              <w:rPr>
                <w:rFonts w:ascii="Trebuchet MS" w:eastAsia="Calibri" w:hAnsi="Trebuchet MS" w:cs="F2"/>
                <w:b/>
                <w:color w:val="FF0000"/>
                <w:sz w:val="22"/>
              </w:rPr>
              <w:t>CITTADINANZA</w:t>
            </w:r>
          </w:p>
          <w:p w:rsidR="00716CF1" w:rsidRPr="0082260C" w:rsidRDefault="00716CF1" w:rsidP="0024200F">
            <w:pPr>
              <w:tabs>
                <w:tab w:val="num" w:pos="398"/>
              </w:tabs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Trebuchet MS" w:eastAsia="Calibri" w:hAnsi="Trebuchet MS" w:cs="F2"/>
                <w:b/>
                <w:color w:val="FF0000"/>
                <w:sz w:val="22"/>
              </w:rPr>
              <w:t>Scuola P</w:t>
            </w:r>
            <w:r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 xml:space="preserve">rimaria e </w:t>
            </w:r>
            <w:r>
              <w:rPr>
                <w:rFonts w:ascii="Trebuchet MS" w:eastAsia="Calibri" w:hAnsi="Trebuchet MS" w:cs="F2"/>
                <w:b/>
                <w:color w:val="FF0000"/>
                <w:sz w:val="22"/>
              </w:rPr>
              <w:t>S</w:t>
            </w:r>
            <w:r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 xml:space="preserve">econdaria di </w:t>
            </w:r>
            <w:r>
              <w:rPr>
                <w:rFonts w:ascii="Trebuchet MS" w:eastAsia="Calibri" w:hAnsi="Trebuchet MS" w:cs="F2"/>
                <w:b/>
                <w:color w:val="FF0000"/>
                <w:sz w:val="22"/>
              </w:rPr>
              <w:t>P</w:t>
            </w:r>
            <w:r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 xml:space="preserve">rimo </w:t>
            </w:r>
            <w:r>
              <w:rPr>
                <w:rFonts w:ascii="Trebuchet MS" w:eastAsia="Calibri" w:hAnsi="Trebuchet MS" w:cs="F2"/>
                <w:b/>
                <w:color w:val="FF0000"/>
                <w:sz w:val="22"/>
              </w:rPr>
              <w:t>G</w:t>
            </w:r>
            <w:r w:rsidRPr="00DF3DFB">
              <w:rPr>
                <w:rFonts w:ascii="Trebuchet MS" w:eastAsia="Calibri" w:hAnsi="Trebuchet MS" w:cs="F2"/>
                <w:b/>
                <w:color w:val="FF0000"/>
                <w:sz w:val="22"/>
              </w:rPr>
              <w:t>rado</w:t>
            </w:r>
          </w:p>
        </w:tc>
      </w:tr>
      <w:tr w:rsidR="00716CF1" w:rsidRPr="0082260C" w:rsidTr="007F6445">
        <w:trPr>
          <w:trHeight w:val="659"/>
        </w:trPr>
        <w:tc>
          <w:tcPr>
            <w:tcW w:w="495" w:type="pct"/>
          </w:tcPr>
          <w:p w:rsidR="00716CF1" w:rsidRPr="0082260C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Competenze chiave europee</w:t>
            </w:r>
          </w:p>
        </w:tc>
        <w:tc>
          <w:tcPr>
            <w:tcW w:w="414" w:type="pct"/>
          </w:tcPr>
          <w:p w:rsidR="00716CF1" w:rsidRPr="0082260C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Competenze di cittadinanza</w:t>
            </w:r>
          </w:p>
        </w:tc>
        <w:tc>
          <w:tcPr>
            <w:tcW w:w="506" w:type="pct"/>
          </w:tcPr>
          <w:p w:rsidR="00716CF1" w:rsidRPr="0082260C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Descrittori</w:t>
            </w:r>
          </w:p>
        </w:tc>
        <w:tc>
          <w:tcPr>
            <w:tcW w:w="2712" w:type="pct"/>
          </w:tcPr>
          <w:p w:rsidR="00716CF1" w:rsidRPr="0082260C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Indicatori</w:t>
            </w:r>
          </w:p>
        </w:tc>
        <w:tc>
          <w:tcPr>
            <w:tcW w:w="873" w:type="pct"/>
            <w:gridSpan w:val="2"/>
          </w:tcPr>
          <w:p w:rsidR="00716CF1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LIVELLO</w:t>
            </w:r>
          </w:p>
        </w:tc>
      </w:tr>
      <w:tr w:rsidR="0024200F" w:rsidRPr="0082260C" w:rsidTr="0024200F">
        <w:trPr>
          <w:trHeight w:val="238"/>
        </w:trPr>
        <w:tc>
          <w:tcPr>
            <w:tcW w:w="495" w:type="pct"/>
            <w:vMerge w:val="restart"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Competenza personale,</w:t>
            </w:r>
            <w:r w:rsidR="007D2C2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sociale e capacità di imparare ad imparare</w:t>
            </w:r>
          </w:p>
        </w:tc>
        <w:tc>
          <w:tcPr>
            <w:tcW w:w="414" w:type="pct"/>
            <w:vMerge w:val="restart"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Imparare ad imparare</w:t>
            </w:r>
          </w:p>
        </w:tc>
        <w:tc>
          <w:tcPr>
            <w:tcW w:w="506" w:type="pct"/>
            <w:vMerge w:val="restart"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Conoscenza di sé (limiti, </w:t>
            </w:r>
            <w:proofErr w:type="gramStart"/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capacità..</w:t>
            </w:r>
            <w:proofErr w:type="gramEnd"/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712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È pienamente consapevole delle proprie capacità e dei propri punti deboli e li sa gestire. 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Avanzato</w:t>
            </w:r>
          </w:p>
        </w:tc>
        <w:tc>
          <w:tcPr>
            <w:tcW w:w="229" w:type="pct"/>
          </w:tcPr>
          <w:p w:rsidR="0024200F" w:rsidRPr="00716CF1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8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È consapevole delle proprie capacità e dei propri punti deboli e inizia a saperli gestire.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229" w:type="pct"/>
          </w:tcPr>
          <w:p w:rsidR="0024200F" w:rsidRDefault="0024200F" w:rsidP="0024200F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Riconosce generalmente le proprie risorse e capacità e inizia a saperli gestire. 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229" w:type="pct"/>
          </w:tcPr>
          <w:p w:rsidR="0024200F" w:rsidRDefault="0024200F" w:rsidP="0024200F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9449E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Si avvia a identificare punti di forza e di debolezza e cerca di gestirli. </w:t>
            </w:r>
          </w:p>
        </w:tc>
        <w:tc>
          <w:tcPr>
            <w:tcW w:w="644" w:type="pct"/>
          </w:tcPr>
          <w:p w:rsidR="0024200F" w:rsidRPr="0082260C" w:rsidRDefault="0024200F" w:rsidP="009449E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229" w:type="pct"/>
          </w:tcPr>
          <w:p w:rsidR="0024200F" w:rsidRDefault="0024200F" w:rsidP="0024200F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tcBorders>
              <w:bottom w:val="double" w:sz="4" w:space="0" w:color="auto"/>
            </w:tcBorders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4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229" w:type="pct"/>
            <w:tcBorders>
              <w:bottom w:val="double" w:sz="4" w:space="0" w:color="auto"/>
            </w:tcBorders>
          </w:tcPr>
          <w:p w:rsidR="0024200F" w:rsidRDefault="0024200F" w:rsidP="0024200F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336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 w:val="restart"/>
            <w:tcBorders>
              <w:top w:val="double" w:sz="4" w:space="0" w:color="auto"/>
            </w:tcBorders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Uso di strumenti informativi</w:t>
            </w:r>
          </w:p>
        </w:tc>
        <w:tc>
          <w:tcPr>
            <w:tcW w:w="2712" w:type="pc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Ricerca in modo autonomo e spontaneo fonti e informazioni.  Sa gestire in modo appropriato, produttivo e autonomo, i diversi supporti utilizzati e scelti. </w:t>
            </w:r>
          </w:p>
        </w:tc>
        <w:tc>
          <w:tcPr>
            <w:tcW w:w="644" w:type="pc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Avanzato</w:t>
            </w:r>
          </w:p>
        </w:tc>
        <w:tc>
          <w:tcPr>
            <w:tcW w:w="229" w:type="pct"/>
            <w:tcBorders>
              <w:top w:val="double" w:sz="4" w:space="0" w:color="auto"/>
            </w:tcBorders>
          </w:tcPr>
          <w:p w:rsidR="0024200F" w:rsidRPr="00716CF1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6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7E62E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Ricerca in modo autonomo fonti e informazioni. Sa gestire in modo appropriato i diversi supporti utilizzati e scelti.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8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7E62E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Ricerca e utilizza in modo autonomo fonti e informazioni, gestendo i diversi supporti utilizzati.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8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7E62E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Guidato/a ricerca e utilizza fonti e informazioni e riesce a gestire i supporti di base utilizzati.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8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tcBorders>
              <w:bottom w:val="double" w:sz="4" w:space="0" w:color="auto"/>
            </w:tcBorders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4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229" w:type="pct"/>
            <w:tcBorders>
              <w:bottom w:val="double" w:sz="4" w:space="0" w:color="auto"/>
            </w:tcBorders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65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 w:val="restart"/>
            <w:tcBorders>
              <w:top w:val="double" w:sz="4" w:space="0" w:color="auto"/>
            </w:tcBorders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Acquisizione di un metodo di studio e di lavoro</w:t>
            </w:r>
          </w:p>
        </w:tc>
        <w:tc>
          <w:tcPr>
            <w:tcW w:w="2712" w:type="pct"/>
            <w:tcBorders>
              <w:top w:val="double" w:sz="4" w:space="0" w:color="auto"/>
            </w:tcBorders>
          </w:tcPr>
          <w:p w:rsidR="0024200F" w:rsidRPr="0082260C" w:rsidRDefault="0024200F" w:rsidP="00532DB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Metodo di studi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o personale, </w:t>
            </w:r>
            <w:proofErr w:type="gramStart"/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attivo,  creativo</w:t>
            </w:r>
            <w:proofErr w:type="gramEnd"/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e </w:t>
            </w: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corretto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644" w:type="pc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Avanzato</w:t>
            </w:r>
          </w:p>
        </w:tc>
        <w:tc>
          <w:tcPr>
            <w:tcW w:w="229" w:type="pct"/>
            <w:tcBorders>
              <w:top w:val="double" w:sz="4" w:space="0" w:color="auto"/>
            </w:tcBorders>
          </w:tcPr>
          <w:p w:rsidR="0024200F" w:rsidRPr="00716CF1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8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532DB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Metodo di studio autonomo ed </w:t>
            </w:r>
            <w:proofErr w:type="gramStart"/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efficace 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  <w:proofErr w:type="gramEnd"/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8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532DB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Metodo di studio abbastanza autonomo ed efficace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218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2B260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Metodo di studio ancora dispersivo, incerto, non sempre adeguato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4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229" w:type="pct"/>
            <w:tcBorders>
              <w:bottom w:val="double" w:sz="4" w:space="0" w:color="auto"/>
            </w:tcBorders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 w:val="restart"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Competenza imprenditoriale</w:t>
            </w:r>
          </w:p>
        </w:tc>
        <w:tc>
          <w:tcPr>
            <w:tcW w:w="414" w:type="pct"/>
            <w:vMerge w:val="restart"/>
            <w:vAlign w:val="center"/>
          </w:tcPr>
          <w:p w:rsidR="0024200F" w:rsidRDefault="0024200F" w:rsidP="004910B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Progettare</w:t>
            </w: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 w:val="restar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Uso delle </w:t>
            </w: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conoscenze</w:t>
            </w: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apprese per realizzare un prodotto.</w:t>
            </w:r>
          </w:p>
        </w:tc>
        <w:tc>
          <w:tcPr>
            <w:tcW w:w="2712" w:type="pc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Utilizza in maniera completa le conoscenze apprese e approfondite per ideare e realizzare un prodotto. </w:t>
            </w:r>
          </w:p>
        </w:tc>
        <w:tc>
          <w:tcPr>
            <w:tcW w:w="644" w:type="pc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Avanzato</w:t>
            </w:r>
          </w:p>
        </w:tc>
        <w:tc>
          <w:tcPr>
            <w:tcW w:w="229" w:type="pct"/>
            <w:tcBorders>
              <w:top w:val="double" w:sz="4" w:space="0" w:color="auto"/>
            </w:tcBorders>
          </w:tcPr>
          <w:p w:rsidR="0024200F" w:rsidRPr="00716CF1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F86B9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Utilizza nel complesso le conoscenze apprese per pianificare e realizzare un prodotto. 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F86B9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Utilizza discretamente le conoscenze apprese per realizzare un prodotto. 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F86B9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Utilizza parzialmente le conoscenze apprese per realizzare un semplice prodotto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4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229" w:type="pct"/>
            <w:tcBorders>
              <w:bottom w:val="double" w:sz="4" w:space="0" w:color="auto"/>
            </w:tcBorders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 w:val="restar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Organizzazione del materiale per realizzare un prodotto</w:t>
            </w:r>
          </w:p>
        </w:tc>
        <w:tc>
          <w:tcPr>
            <w:tcW w:w="2712" w:type="pc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pStyle w:val="Default"/>
              <w:rPr>
                <w:rFonts w:ascii="Calibri" w:hAnsi="Calibri" w:cs="Calibri"/>
                <w:sz w:val="18"/>
                <w:szCs w:val="18"/>
              </w:rPr>
            </w:pPr>
            <w:r w:rsidRPr="0082260C">
              <w:rPr>
                <w:rFonts w:ascii="Calibri" w:hAnsi="Calibri" w:cs="Calibri"/>
                <w:sz w:val="18"/>
                <w:szCs w:val="18"/>
              </w:rPr>
              <w:t xml:space="preserve">Organizza il materiale in modo razionale e </w:t>
            </w:r>
            <w:proofErr w:type="gramStart"/>
            <w:r w:rsidRPr="0082260C">
              <w:rPr>
                <w:rFonts w:ascii="Calibri" w:hAnsi="Calibri" w:cs="Calibri"/>
                <w:sz w:val="18"/>
                <w:szCs w:val="18"/>
              </w:rPr>
              <w:t xml:space="preserve">originale </w:t>
            </w:r>
            <w:r w:rsidR="00532DBA">
              <w:rPr>
                <w:rFonts w:ascii="Calibri" w:hAnsi="Calibri" w:cs="Calibri"/>
                <w:sz w:val="18"/>
                <w:szCs w:val="18"/>
              </w:rPr>
              <w:t>.</w:t>
            </w:r>
            <w:proofErr w:type="gramEnd"/>
          </w:p>
        </w:tc>
        <w:tc>
          <w:tcPr>
            <w:tcW w:w="644" w:type="pct"/>
            <w:tcBorders>
              <w:top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Avanzato</w:t>
            </w:r>
          </w:p>
        </w:tc>
        <w:tc>
          <w:tcPr>
            <w:tcW w:w="229" w:type="pct"/>
            <w:tcBorders>
              <w:top w:val="double" w:sz="4" w:space="0" w:color="auto"/>
            </w:tcBorders>
          </w:tcPr>
          <w:p w:rsidR="0024200F" w:rsidRPr="00716CF1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772A18">
            <w:pPr>
              <w:pStyle w:val="Default"/>
              <w:rPr>
                <w:rFonts w:ascii="Calibri" w:hAnsi="Calibri" w:cs="Calibri"/>
                <w:sz w:val="18"/>
                <w:szCs w:val="18"/>
              </w:rPr>
            </w:pPr>
            <w:r w:rsidRPr="0082260C">
              <w:rPr>
                <w:rFonts w:ascii="Calibri" w:hAnsi="Calibri" w:cs="Calibri"/>
                <w:sz w:val="18"/>
                <w:szCs w:val="18"/>
              </w:rPr>
              <w:t>Organizza il materiale in modo appropriato</w:t>
            </w:r>
            <w:r w:rsidR="00532DBA">
              <w:rPr>
                <w:rFonts w:ascii="Calibri" w:hAnsi="Calibri" w:cs="Calibri"/>
                <w:sz w:val="18"/>
                <w:szCs w:val="18"/>
              </w:rPr>
              <w:t>.</w:t>
            </w:r>
            <w:r w:rsidRPr="0082260C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772A18">
            <w:pPr>
              <w:pStyle w:val="Default"/>
              <w:rPr>
                <w:rFonts w:ascii="Calibri" w:hAnsi="Calibri" w:cs="Calibri"/>
                <w:sz w:val="18"/>
                <w:szCs w:val="18"/>
              </w:rPr>
            </w:pPr>
            <w:r w:rsidRPr="0082260C">
              <w:rPr>
                <w:rFonts w:ascii="Calibri" w:hAnsi="Calibri" w:cs="Calibri"/>
                <w:sz w:val="18"/>
                <w:szCs w:val="18"/>
              </w:rPr>
              <w:t>Si orienta nell’ organizzare il materiale</w:t>
            </w:r>
            <w:r w:rsidR="00532DBA">
              <w:rPr>
                <w:rFonts w:ascii="Calibri" w:hAnsi="Calibri" w:cs="Calibri"/>
                <w:sz w:val="18"/>
                <w:szCs w:val="18"/>
              </w:rPr>
              <w:t>.</w:t>
            </w:r>
            <w:r w:rsidRPr="0082260C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</w:tcPr>
          <w:p w:rsidR="0024200F" w:rsidRPr="0082260C" w:rsidRDefault="0024200F" w:rsidP="00772A18">
            <w:pPr>
              <w:pStyle w:val="Default"/>
              <w:rPr>
                <w:rFonts w:ascii="Calibri" w:hAnsi="Calibri" w:cs="Calibri"/>
                <w:sz w:val="18"/>
                <w:szCs w:val="18"/>
              </w:rPr>
            </w:pPr>
            <w:r w:rsidRPr="0082260C">
              <w:rPr>
                <w:rFonts w:ascii="Calibri" w:hAnsi="Calibri" w:cs="Calibri"/>
                <w:sz w:val="18"/>
                <w:szCs w:val="18"/>
              </w:rPr>
              <w:t xml:space="preserve">Organizza il materiale in modo non sempre </w:t>
            </w:r>
            <w:proofErr w:type="gramStart"/>
            <w:r w:rsidRPr="0082260C">
              <w:rPr>
                <w:rFonts w:ascii="Calibri" w:hAnsi="Calibri" w:cs="Calibri"/>
                <w:sz w:val="18"/>
                <w:szCs w:val="18"/>
              </w:rPr>
              <w:t xml:space="preserve">corretto </w:t>
            </w:r>
            <w:r w:rsidR="00532DBA">
              <w:rPr>
                <w:rFonts w:ascii="Calibri" w:hAnsi="Calibri" w:cs="Calibri"/>
                <w:sz w:val="18"/>
                <w:szCs w:val="18"/>
              </w:rPr>
              <w:t>.</w:t>
            </w:r>
            <w:proofErr w:type="gramEnd"/>
          </w:p>
        </w:tc>
        <w:tc>
          <w:tcPr>
            <w:tcW w:w="644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229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24200F" w:rsidRPr="0082260C" w:rsidTr="0024200F">
        <w:trPr>
          <w:trHeight w:val="100"/>
        </w:trPr>
        <w:tc>
          <w:tcPr>
            <w:tcW w:w="495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14" w:type="pct"/>
            <w:vMerge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12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pStyle w:val="Default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644" w:type="pct"/>
            <w:tcBorders>
              <w:bottom w:val="double" w:sz="4" w:space="0" w:color="auto"/>
            </w:tcBorders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229" w:type="pct"/>
            <w:tcBorders>
              <w:bottom w:val="double" w:sz="4" w:space="0" w:color="auto"/>
            </w:tcBorders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</w:tbl>
    <w:p w:rsidR="00716CF1" w:rsidRDefault="00716CF1" w:rsidP="00716CF1"/>
    <w:p w:rsidR="00716CF1" w:rsidRDefault="00716CF1" w:rsidP="00716CF1"/>
    <w:p w:rsidR="007D2C2F" w:rsidRDefault="007D2C2F" w:rsidP="00716CF1"/>
    <w:p w:rsidR="007D2C2F" w:rsidRDefault="007D2C2F" w:rsidP="00716CF1"/>
    <w:p w:rsidR="007D2C2F" w:rsidRDefault="007D2C2F" w:rsidP="00716CF1"/>
    <w:p w:rsidR="007D2C2F" w:rsidRDefault="007D2C2F"/>
    <w:tbl>
      <w:tblPr>
        <w:tblW w:w="51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14"/>
        <w:gridCol w:w="1343"/>
        <w:gridCol w:w="1340"/>
        <w:gridCol w:w="7653"/>
        <w:gridCol w:w="1478"/>
        <w:gridCol w:w="1072"/>
      </w:tblGrid>
      <w:tr w:rsidR="0024200F" w:rsidRPr="000A3603" w:rsidTr="0024200F">
        <w:trPr>
          <w:trHeight w:val="383"/>
        </w:trPr>
        <w:tc>
          <w:tcPr>
            <w:tcW w:w="587" w:type="pct"/>
          </w:tcPr>
          <w:p w:rsidR="0024200F" w:rsidRPr="000A3603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lastRenderedPageBreak/>
              <w:t>Competenze chiave europee</w:t>
            </w:r>
          </w:p>
        </w:tc>
        <w:tc>
          <w:tcPr>
            <w:tcW w:w="460" w:type="pct"/>
          </w:tcPr>
          <w:p w:rsidR="0024200F" w:rsidRPr="000A3603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Competenze di cittadinanza</w:t>
            </w:r>
          </w:p>
        </w:tc>
        <w:tc>
          <w:tcPr>
            <w:tcW w:w="459" w:type="pct"/>
            <w:tcBorders>
              <w:bottom w:val="single" w:sz="4" w:space="0" w:color="auto"/>
            </w:tcBorders>
          </w:tcPr>
          <w:p w:rsidR="0024200F" w:rsidRPr="000A3603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Descrittori</w:t>
            </w:r>
          </w:p>
        </w:tc>
        <w:tc>
          <w:tcPr>
            <w:tcW w:w="2621" w:type="pct"/>
            <w:tcBorders>
              <w:bottom w:val="single" w:sz="4" w:space="0" w:color="auto"/>
            </w:tcBorders>
          </w:tcPr>
          <w:p w:rsidR="0024200F" w:rsidRPr="000A3603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Indicatori</w:t>
            </w:r>
          </w:p>
        </w:tc>
        <w:tc>
          <w:tcPr>
            <w:tcW w:w="506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67" w:type="pct"/>
          </w:tcPr>
          <w:p w:rsidR="0024200F" w:rsidRPr="00716CF1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</w:tc>
      </w:tr>
      <w:tr w:rsidR="0024200F" w:rsidRPr="0082260C" w:rsidTr="0024200F">
        <w:trPr>
          <w:trHeight w:val="100"/>
        </w:trPr>
        <w:tc>
          <w:tcPr>
            <w:tcW w:w="587" w:type="pct"/>
            <w:vMerge w:val="restart"/>
          </w:tcPr>
          <w:p w:rsidR="0024200F" w:rsidRPr="0082260C" w:rsidRDefault="0024200F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Competenza alfabetica funzionale</w:t>
            </w:r>
          </w:p>
          <w:p w:rsidR="0024200F" w:rsidRPr="0082260C" w:rsidRDefault="0024200F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Competenza multilinguistica</w:t>
            </w:r>
          </w:p>
          <w:p w:rsidR="0024200F" w:rsidRPr="0082260C" w:rsidRDefault="0024200F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Competenza digitale</w:t>
            </w:r>
          </w:p>
          <w:p w:rsidR="0024200F" w:rsidRPr="0082260C" w:rsidRDefault="0024200F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Competenza in materia di c</w:t>
            </w:r>
            <w:r w:rsidRPr="0082260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onsapevolezza ed espressione culturale</w:t>
            </w:r>
          </w:p>
        </w:tc>
        <w:tc>
          <w:tcPr>
            <w:tcW w:w="460" w:type="pct"/>
            <w:vMerge w:val="restart"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Comunicare</w:t>
            </w: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Comprendere</w:t>
            </w: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Rappresentare</w:t>
            </w:r>
          </w:p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 w:val="restart"/>
            <w:vAlign w:val="center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43AC3">
              <w:rPr>
                <w:rFonts w:ascii="Calibri" w:hAnsi="Calibri" w:cs="Calibri"/>
                <w:color w:val="000000"/>
                <w:sz w:val="18"/>
                <w:szCs w:val="18"/>
              </w:rPr>
              <w:t>Comprensione e uso dei linguaggi di vario genere</w:t>
            </w:r>
          </w:p>
        </w:tc>
        <w:tc>
          <w:tcPr>
            <w:tcW w:w="2621" w:type="pct"/>
          </w:tcPr>
          <w:p w:rsidR="0024200F" w:rsidRPr="0082260C" w:rsidRDefault="0024200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Comprende tutti i generi di messaggi e di diversa complessità trasmessi con diversi supporti. </w:t>
            </w:r>
          </w:p>
        </w:tc>
        <w:tc>
          <w:tcPr>
            <w:tcW w:w="506" w:type="pct"/>
          </w:tcPr>
          <w:p w:rsidR="0024200F" w:rsidRPr="0082260C" w:rsidRDefault="000A7ABA" w:rsidP="000A7AB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67" w:type="pct"/>
          </w:tcPr>
          <w:p w:rsidR="0024200F" w:rsidRDefault="0024200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24200F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CC79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Comprende diversi generi di messaggi e di una certa compless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ità trasmessi con vari supporti.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532DB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Comprende nel complesso messaggi di molti generi trasmessi con diversi supporti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67" w:type="pct"/>
            <w:tcBorders>
              <w:bottom w:val="sing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CC79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Comprende semplici messaggi trasmessi con alcuni supporti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67" w:type="pct"/>
            <w:tcBorders>
              <w:bottom w:val="sing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bottom w:val="double" w:sz="4" w:space="0" w:color="auto"/>
            </w:tcBorders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  <w:tcBorders>
              <w:bottom w:val="double" w:sz="4" w:space="0" w:color="auto"/>
              <w:right w:val="sing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A7ABA" w:rsidRPr="00716CF1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 w:val="restart"/>
            <w:tcBorders>
              <w:top w:val="double" w:sz="4" w:space="0" w:color="auto"/>
            </w:tcBorders>
            <w:vAlign w:val="center"/>
          </w:tcPr>
          <w:p w:rsidR="000A7ABA" w:rsidRPr="00843AC3" w:rsidRDefault="000A7ABA" w:rsidP="004910B4">
            <w:pPr>
              <w:pStyle w:val="Default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43AC3">
              <w:rPr>
                <w:rFonts w:ascii="Calibri" w:hAnsi="Calibri" w:cs="Calibri"/>
                <w:sz w:val="18"/>
                <w:szCs w:val="18"/>
              </w:rPr>
              <w:t>Uso dei linguaggi disciplinari</w:t>
            </w:r>
          </w:p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  <w:tcBorders>
              <w:top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Si esprime utilizzando in maniera sicura, corretta, appropriata e originale tutti i linguaggi disciplinari mediante supporti vari. </w:t>
            </w:r>
          </w:p>
        </w:tc>
        <w:tc>
          <w:tcPr>
            <w:tcW w:w="506" w:type="pct"/>
            <w:tcBorders>
              <w:top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67" w:type="pct"/>
            <w:tcBorders>
              <w:top w:val="doub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24200F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E21D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Si esprime utilizzando correttamente tutti i linguaggi disc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>iplinari mediante supporti vari.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24200F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E21D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Si esprime utilizzando abbastanza correttamente i linguaggi disciplinari mediante supporti vari. 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24200F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E21D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Si esprime utilizzando in modo semplice ed essenziale i linguaggi disciplinari. 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67" w:type="pct"/>
            <w:tcBorders>
              <w:bottom w:val="doub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232"/>
        </w:trPr>
        <w:tc>
          <w:tcPr>
            <w:tcW w:w="587" w:type="pct"/>
            <w:vMerge w:val="restart"/>
            <w:vAlign w:val="center"/>
          </w:tcPr>
          <w:p w:rsidR="000A7ABA" w:rsidRPr="0082260C" w:rsidRDefault="000A7ABA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a</w:t>
            </w:r>
            <w:r w:rsidRPr="0082260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in materia di cittadinanza</w:t>
            </w:r>
          </w:p>
        </w:tc>
        <w:tc>
          <w:tcPr>
            <w:tcW w:w="460" w:type="pct"/>
            <w:vMerge w:val="restart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Collaborare e partecipare</w:t>
            </w:r>
          </w:p>
        </w:tc>
        <w:tc>
          <w:tcPr>
            <w:tcW w:w="459" w:type="pct"/>
            <w:vMerge w:val="restart"/>
            <w:tcBorders>
              <w:top w:val="double" w:sz="4" w:space="0" w:color="auto"/>
            </w:tcBorders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Interazione nel gruppo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di lavoro </w:t>
            </w:r>
            <w:r w:rsidR="00065EC1" w:rsidRPr="00065EC1">
              <w:rPr>
                <w:rFonts w:ascii="Calibri" w:hAnsi="Calibri" w:cs="Calibri"/>
                <w:color w:val="000000"/>
                <w:sz w:val="16"/>
                <w:szCs w:val="18"/>
              </w:rPr>
              <w:t>(disponibilità e osservanza della netiquette)</w:t>
            </w:r>
          </w:p>
        </w:tc>
        <w:tc>
          <w:tcPr>
            <w:tcW w:w="2621" w:type="pct"/>
            <w:tcBorders>
              <w:top w:val="double" w:sz="4" w:space="0" w:color="auto"/>
            </w:tcBorders>
          </w:tcPr>
          <w:p w:rsidR="000A7ABA" w:rsidRPr="0082260C" w:rsidRDefault="000A7ABA" w:rsidP="00962B7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Interagisce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,</w:t>
            </w:r>
            <w:r w:rsidR="00532DB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nelle attività sincrone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,</w:t>
            </w: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in modo collaborativo, partecipativo e costruttivo. </w:t>
            </w:r>
          </w:p>
        </w:tc>
        <w:tc>
          <w:tcPr>
            <w:tcW w:w="506" w:type="pct"/>
            <w:tcBorders>
              <w:top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67" w:type="pct"/>
            <w:tcBorders>
              <w:top w:val="doub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24200F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962B7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1B61">
              <w:rPr>
                <w:rFonts w:ascii="Calibri" w:hAnsi="Calibri" w:cs="Calibri"/>
                <w:color w:val="000000"/>
                <w:sz w:val="18"/>
                <w:szCs w:val="18"/>
              </w:rPr>
              <w:t>Interagisce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, nelle attività sincrone,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attivamente.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24200F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065EC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1B61">
              <w:rPr>
                <w:rFonts w:ascii="Calibri" w:hAnsi="Calibri" w:cs="Calibri"/>
                <w:color w:val="000000"/>
                <w:sz w:val="18"/>
                <w:szCs w:val="18"/>
              </w:rPr>
              <w:t>Interagisce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,</w:t>
            </w:r>
            <w:r w:rsidRPr="003A1B6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nelle attività sincrone,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3A1B61">
              <w:rPr>
                <w:rFonts w:ascii="Calibri" w:hAnsi="Calibri" w:cs="Calibri"/>
                <w:color w:val="000000"/>
                <w:sz w:val="18"/>
                <w:szCs w:val="18"/>
              </w:rPr>
              <w:t>in modo collaborativo.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24200F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65EC1" w:rsidP="00962B7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Ha difficoltà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,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962B7A">
              <w:rPr>
                <w:rFonts w:ascii="Calibri" w:hAnsi="Calibri" w:cs="Calibri"/>
                <w:color w:val="000000"/>
                <w:sz w:val="18"/>
                <w:szCs w:val="18"/>
              </w:rPr>
              <w:t>nelle attività sincrone,</w:t>
            </w:r>
            <w:r w:rsidR="00962B7A" w:rsidRPr="003A1B6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0A7ABA" w:rsidRPr="003A1B61">
              <w:rPr>
                <w:rFonts w:ascii="Calibri" w:hAnsi="Calibri" w:cs="Calibri"/>
                <w:color w:val="000000"/>
                <w:sz w:val="18"/>
                <w:szCs w:val="18"/>
              </w:rPr>
              <w:t>di collaborazione.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  <w:textDirection w:val="btLr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bottom w:val="double" w:sz="4" w:space="0" w:color="auto"/>
            </w:tcBorders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67" w:type="pct"/>
            <w:tcBorders>
              <w:bottom w:val="double" w:sz="4" w:space="0" w:color="auto"/>
            </w:tcBorders>
          </w:tcPr>
          <w:p w:rsidR="000A7ABA" w:rsidRPr="00716CF1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23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 w:val="restart"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1B61">
              <w:rPr>
                <w:rFonts w:ascii="Calibri" w:hAnsi="Calibri" w:cs="Calibri"/>
                <w:color w:val="000000"/>
                <w:sz w:val="18"/>
                <w:szCs w:val="18"/>
              </w:rPr>
              <w:t>Agire in modo autonomo e responsabile</w:t>
            </w:r>
          </w:p>
        </w:tc>
        <w:tc>
          <w:tcPr>
            <w:tcW w:w="459" w:type="pct"/>
            <w:vMerge w:val="restart"/>
            <w:tcBorders>
              <w:top w:val="double" w:sz="4" w:space="0" w:color="auto"/>
            </w:tcBorders>
            <w:vAlign w:val="center"/>
          </w:tcPr>
          <w:p w:rsidR="000A7ABA" w:rsidRPr="0082260C" w:rsidRDefault="000A7ABA" w:rsidP="00EA2B4C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Assolvere 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>a</w:t>
            </w: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gli 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impegni </w:t>
            </w:r>
            <w:r w:rsidR="00EA2B4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proposti nell’ambito della </w:t>
            </w:r>
            <w:proofErr w:type="spellStart"/>
            <w:r w:rsidR="00EA2B4C">
              <w:rPr>
                <w:rFonts w:ascii="Calibri" w:hAnsi="Calibri" w:cs="Calibri"/>
                <w:color w:val="000000"/>
                <w:sz w:val="18"/>
                <w:szCs w:val="18"/>
              </w:rPr>
              <w:t>DaD</w:t>
            </w:r>
            <w:proofErr w:type="spellEnd"/>
          </w:p>
        </w:tc>
        <w:tc>
          <w:tcPr>
            <w:tcW w:w="2621" w:type="pct"/>
            <w:tcBorders>
              <w:top w:val="double" w:sz="4" w:space="0" w:color="auto"/>
            </w:tcBorders>
          </w:tcPr>
          <w:p w:rsidR="000A7ABA" w:rsidRPr="0082260C" w:rsidRDefault="000A7ABA" w:rsidP="00F45E8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Assolve in modo attivo e responsabile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 </w:t>
            </w:r>
            <w:proofErr w:type="gramStart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lavori </w:t>
            </w:r>
            <w:r w:rsidR="00F45E85"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assegnati</w:t>
            </w:r>
            <w:proofErr w:type="gramEnd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in modalità</w:t>
            </w: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sincrona e asincrona.</w:t>
            </w:r>
          </w:p>
        </w:tc>
        <w:tc>
          <w:tcPr>
            <w:tcW w:w="506" w:type="pct"/>
            <w:tcBorders>
              <w:top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67" w:type="pct"/>
            <w:tcBorders>
              <w:top w:val="doub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ED7AE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Assolve in modo regolare e abbastanza responsabile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 </w:t>
            </w:r>
            <w:proofErr w:type="gramStart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lavori </w:t>
            </w:r>
            <w:r w:rsidR="00F45E85"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assegnati</w:t>
            </w:r>
            <w:proofErr w:type="gramEnd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in modalità</w:t>
            </w:r>
            <w:r w:rsidR="00F45E85"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sincrona e asincrona.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ED7AE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Assolve in modo regolare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 </w:t>
            </w:r>
            <w:proofErr w:type="gramStart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lavori </w:t>
            </w:r>
            <w:r w:rsidR="00F45E85"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assegnati</w:t>
            </w:r>
            <w:proofErr w:type="gramEnd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in modalità</w:t>
            </w:r>
            <w:r w:rsidR="00F45E85"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sincrona e asincrona.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ED7AE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Assolve in modo discontinuo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 </w:t>
            </w:r>
            <w:proofErr w:type="gramStart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lavori </w:t>
            </w:r>
            <w:r w:rsidR="00F45E85"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assegnati</w:t>
            </w:r>
            <w:proofErr w:type="gramEnd"/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in modalità</w:t>
            </w:r>
            <w:r w:rsidR="00F45E85" w:rsidRPr="0082260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F45E85">
              <w:rPr>
                <w:rFonts w:ascii="Calibri" w:hAnsi="Calibri" w:cs="Calibri"/>
                <w:color w:val="000000"/>
                <w:sz w:val="18"/>
                <w:szCs w:val="18"/>
              </w:rPr>
              <w:t>sincrona e asincrona.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bottom w:val="double" w:sz="4" w:space="0" w:color="auto"/>
            </w:tcBorders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67" w:type="pct"/>
            <w:tcBorders>
              <w:bottom w:val="double" w:sz="4" w:space="0" w:color="auto"/>
            </w:tcBorders>
          </w:tcPr>
          <w:p w:rsidR="000A7ABA" w:rsidRPr="00DF4D00" w:rsidRDefault="000A7ABA" w:rsidP="004910B4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218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 w:val="restart"/>
            <w:tcBorders>
              <w:top w:val="double" w:sz="4" w:space="0" w:color="auto"/>
            </w:tcBorders>
            <w:vAlign w:val="center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Rispetto delle regole</w:t>
            </w:r>
          </w:p>
        </w:tc>
        <w:tc>
          <w:tcPr>
            <w:tcW w:w="2621" w:type="pct"/>
            <w:tcBorders>
              <w:top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Rispetta in modo scrupoloso le regole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dell’attività sincrona.</w:t>
            </w:r>
          </w:p>
        </w:tc>
        <w:tc>
          <w:tcPr>
            <w:tcW w:w="506" w:type="pct"/>
            <w:tcBorders>
              <w:top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67" w:type="pct"/>
            <w:tcBorders>
              <w:top w:val="doub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171C4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Rispetta sempre le regole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dell’attività sincrona.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171C4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Rispetta generalmente le </w:t>
            </w:r>
            <w:proofErr w:type="gramStart"/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regole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dell’attività</w:t>
            </w:r>
            <w:proofErr w:type="gramEnd"/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sincrona.</w:t>
            </w:r>
          </w:p>
        </w:tc>
        <w:tc>
          <w:tcPr>
            <w:tcW w:w="506" w:type="pct"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67" w:type="pct"/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</w:tcPr>
          <w:p w:rsidR="000A7ABA" w:rsidRPr="0082260C" w:rsidRDefault="000A7ABA" w:rsidP="00171C4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Rispetta saltuariamente le regole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dell’attività sincrona.</w:t>
            </w: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67" w:type="pct"/>
            <w:tcBorders>
              <w:bottom w:val="single" w:sz="4" w:space="0" w:color="auto"/>
            </w:tcBorders>
          </w:tcPr>
          <w:p w:rsidR="000A7ABA" w:rsidRDefault="000A7ABA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0A7ABA" w:rsidRPr="0082260C" w:rsidTr="000A7ABA">
        <w:trPr>
          <w:trHeight w:val="100"/>
        </w:trPr>
        <w:tc>
          <w:tcPr>
            <w:tcW w:w="587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60" w:type="pct"/>
            <w:vMerge/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21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tcBorders>
              <w:bottom w:val="double" w:sz="4" w:space="0" w:color="auto"/>
            </w:tcBorders>
          </w:tcPr>
          <w:p w:rsidR="000A7ABA" w:rsidRPr="0082260C" w:rsidRDefault="000A7ABA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67" w:type="pct"/>
            <w:tcBorders>
              <w:bottom w:val="double" w:sz="4" w:space="0" w:color="auto"/>
            </w:tcBorders>
          </w:tcPr>
          <w:p w:rsidR="000A7ABA" w:rsidRPr="00DF4D00" w:rsidRDefault="000A7ABA" w:rsidP="004910B4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</w:tbl>
    <w:p w:rsidR="007D2C2F" w:rsidRDefault="007D2C2F"/>
    <w:p w:rsidR="007D2C2F" w:rsidRDefault="007D2C2F"/>
    <w:p w:rsidR="007D2C2F" w:rsidRDefault="007D2C2F"/>
    <w:tbl>
      <w:tblPr>
        <w:tblW w:w="51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15"/>
        <w:gridCol w:w="1323"/>
        <w:gridCol w:w="1495"/>
        <w:gridCol w:w="7577"/>
        <w:gridCol w:w="1486"/>
        <w:gridCol w:w="1004"/>
      </w:tblGrid>
      <w:tr w:rsidR="00716CF1" w:rsidRPr="000A3603" w:rsidTr="007D2C2F">
        <w:trPr>
          <w:trHeight w:val="383"/>
        </w:trPr>
        <w:tc>
          <w:tcPr>
            <w:tcW w:w="587" w:type="pct"/>
          </w:tcPr>
          <w:p w:rsidR="00716CF1" w:rsidRPr="000A3603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Competenze chiave europee</w:t>
            </w:r>
          </w:p>
        </w:tc>
        <w:tc>
          <w:tcPr>
            <w:tcW w:w="453" w:type="pct"/>
            <w:tcBorders>
              <w:bottom w:val="single" w:sz="4" w:space="0" w:color="auto"/>
            </w:tcBorders>
          </w:tcPr>
          <w:p w:rsidR="00716CF1" w:rsidRPr="000A3603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Competenze di cittadinanza</w:t>
            </w:r>
          </w:p>
        </w:tc>
        <w:tc>
          <w:tcPr>
            <w:tcW w:w="512" w:type="pct"/>
            <w:tcBorders>
              <w:bottom w:val="single" w:sz="4" w:space="0" w:color="auto"/>
            </w:tcBorders>
          </w:tcPr>
          <w:p w:rsidR="00716CF1" w:rsidRPr="000A3603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Descrittori</w:t>
            </w:r>
          </w:p>
        </w:tc>
        <w:tc>
          <w:tcPr>
            <w:tcW w:w="2595" w:type="pct"/>
            <w:tcBorders>
              <w:bottom w:val="single" w:sz="4" w:space="0" w:color="auto"/>
            </w:tcBorders>
          </w:tcPr>
          <w:p w:rsidR="00716CF1" w:rsidRPr="000A3603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Indicatori</w:t>
            </w:r>
          </w:p>
        </w:tc>
        <w:tc>
          <w:tcPr>
            <w:tcW w:w="853" w:type="pct"/>
            <w:gridSpan w:val="2"/>
            <w:tcBorders>
              <w:bottom w:val="single" w:sz="4" w:space="0" w:color="auto"/>
            </w:tcBorders>
          </w:tcPr>
          <w:p w:rsidR="00716CF1" w:rsidRPr="000A3603" w:rsidRDefault="00716CF1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  <w:r w:rsidRPr="000A3603">
              <w:rPr>
                <w:rFonts w:ascii="Calibri" w:hAnsi="Calibri" w:cs="Calibri"/>
                <w:b/>
                <w:bCs/>
                <w:color w:val="FF0000"/>
                <w:sz w:val="18"/>
                <w:szCs w:val="18"/>
              </w:rPr>
              <w:t>Valutazione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 w:val="restart"/>
            <w:vAlign w:val="center"/>
          </w:tcPr>
          <w:p w:rsidR="007D2C2F" w:rsidRPr="00956C48" w:rsidRDefault="007D2C2F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56C4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a</w:t>
            </w:r>
            <w:r w:rsidRPr="00956C4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Matematica e Competenz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a</w:t>
            </w:r>
            <w:r w:rsidRPr="00956C4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in </w:t>
            </w:r>
            <w:proofErr w:type="gramStart"/>
            <w:r w:rsidRPr="00956C4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Scienze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,</w:t>
            </w:r>
            <w:proofErr w:type="gramEnd"/>
            <w:r w:rsidRPr="00956C4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Tecnologia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e Ingegneria</w:t>
            </w:r>
          </w:p>
          <w:p w:rsidR="007D2C2F" w:rsidRPr="00956C48" w:rsidRDefault="007D2C2F" w:rsidP="004910B4">
            <w:pPr>
              <w:autoSpaceDE w:val="0"/>
              <w:autoSpaceDN w:val="0"/>
              <w:adjustRightInd w:val="0"/>
              <w:ind w:left="284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  <w:p w:rsidR="007D2C2F" w:rsidRPr="0082260C" w:rsidRDefault="007D2C2F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lastRenderedPageBreak/>
              <w:t>Competenza imprenditoriale</w:t>
            </w:r>
          </w:p>
        </w:tc>
        <w:tc>
          <w:tcPr>
            <w:tcW w:w="453" w:type="pct"/>
            <w:vMerge w:val="restart"/>
            <w:vAlign w:val="center"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lastRenderedPageBreak/>
              <w:t>Risolvere problemi</w:t>
            </w:r>
          </w:p>
          <w:p w:rsidR="007D2C2F" w:rsidRPr="00F14E9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 w:val="restart"/>
            <w:vAlign w:val="center"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Risoluzione di situazioni problematiche utilizzando contenuti e metodi delle diverse discipline</w:t>
            </w:r>
          </w:p>
        </w:tc>
        <w:tc>
          <w:tcPr>
            <w:tcW w:w="2595" w:type="pct"/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Riconosce i dati essenziali, autonomamente individua le fasi del percorso risolutivo in maniera originale anche in casi articolati, ottimizzando il procedimento.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D6607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Riconosce i dati essenziali, individua le fasi del percorso risolutivo anche in casi diversi da quelli affrontati, attraverso una sequenza ordinata di procedimenti logici e adeguati.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D6607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Riconosce i dati essenziali, individua le fasi del percorso risolutivo, relativamente a situazioni già affrontate, attraverso una sequenza ordinata di procedimenti adeguati.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D6607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Riconosce i dati essenziali in situazioni semplici e individua solo parzialmente le fasi del percorso </w:t>
            </w: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lastRenderedPageBreak/>
              <w:t xml:space="preserve">risolutivo, tentando le soluzioni adatte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lastRenderedPageBreak/>
              <w:t>Iniziale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cBorders>
              <w:bottom w:val="double" w:sz="4" w:space="0" w:color="auto"/>
            </w:tcBorders>
            <w:textDirection w:val="btLr"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tcBorders>
              <w:bottom w:val="double" w:sz="4" w:space="0" w:color="auto"/>
            </w:tcBorders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  <w:tcBorders>
              <w:bottom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9" w:type="pct"/>
            <w:tcBorders>
              <w:bottom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44" w:type="pct"/>
            <w:tcBorders>
              <w:left w:val="single" w:sz="4" w:space="0" w:color="auto"/>
              <w:bottom w:val="double" w:sz="4" w:space="0" w:color="auto"/>
            </w:tcBorders>
          </w:tcPr>
          <w:p w:rsidR="007D2C2F" w:rsidRPr="00716CF1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 w:val="restart"/>
            <w:tcBorders>
              <w:top w:val="double" w:sz="4" w:space="0" w:color="auto"/>
            </w:tcBorders>
            <w:vAlign w:val="center"/>
          </w:tcPr>
          <w:p w:rsidR="007D2C2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Individuare collegamenti e relazioni</w:t>
            </w:r>
          </w:p>
          <w:p w:rsidR="007D2C2F" w:rsidRPr="00F14E9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 w:val="restart"/>
            <w:tcBorders>
              <w:top w:val="double" w:sz="4" w:space="0" w:color="auto"/>
            </w:tcBorders>
            <w:vAlign w:val="center"/>
          </w:tcPr>
          <w:p w:rsidR="007D2C2F" w:rsidRPr="00F14E9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Individuare e rappresentare</w:t>
            </w:r>
          </w:p>
          <w:p w:rsidR="007D2C2F" w:rsidRPr="00F14E9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collegamenti e relazioni tra fenomeni, eventi e concetti</w:t>
            </w:r>
          </w:p>
          <w:p w:rsidR="007D2C2F" w:rsidRPr="00F14E9F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F14E9F">
              <w:rPr>
                <w:rFonts w:ascii="Calibri" w:hAnsi="Calibri" w:cs="Calibri"/>
                <w:color w:val="000000"/>
                <w:sz w:val="18"/>
                <w:szCs w:val="18"/>
              </w:rPr>
              <w:t>diversi</w:t>
            </w:r>
          </w:p>
        </w:tc>
        <w:tc>
          <w:tcPr>
            <w:tcW w:w="2595" w:type="pct"/>
            <w:tcBorders>
              <w:top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Individua in modo preciso e ordinato i collegamenti e le relazioni tra i fenomeni, gli eventi e i concetti appresi. Li rappresenta in modo corretto e creativo. </w:t>
            </w:r>
          </w:p>
        </w:tc>
        <w:tc>
          <w:tcPr>
            <w:tcW w:w="509" w:type="pct"/>
            <w:tcBorders>
              <w:top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44" w:type="pct"/>
            <w:tcBorders>
              <w:top w:val="double" w:sz="4" w:space="0" w:color="auto"/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491F1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Individua i collegamenti e le relazioni tra i fenomeni, gli eventi e i concetti appresi. Li rappresenta in modo corretto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491F1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Individua i principali collegamenti e le fondamentali relazioni tra i fenomeni, gli eventi e i concetti appresi. Li rappresenta in modo adeguatamente corretto.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491F1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Guidato/a individua i principali collegamenti tra fenomeni e concetti appresi. Ha difficoltà nella loro rappresentazione.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tcBorders>
              <w:bottom w:val="double" w:sz="4" w:space="0" w:color="auto"/>
            </w:tcBorders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  <w:tcBorders>
              <w:bottom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9" w:type="pct"/>
            <w:tcBorders>
              <w:bottom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44" w:type="pct"/>
            <w:tcBorders>
              <w:left w:val="single" w:sz="4" w:space="0" w:color="auto"/>
              <w:bottom w:val="double" w:sz="4" w:space="0" w:color="auto"/>
            </w:tcBorders>
          </w:tcPr>
          <w:p w:rsidR="007D2C2F" w:rsidRPr="00716CF1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 w:val="restart"/>
            <w:tcBorders>
              <w:top w:val="double" w:sz="4" w:space="0" w:color="auto"/>
            </w:tcBorders>
            <w:vAlign w:val="center"/>
          </w:tcPr>
          <w:p w:rsidR="007D2C2F" w:rsidRPr="00C11B99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11B99">
              <w:rPr>
                <w:rFonts w:ascii="Calibri" w:hAnsi="Calibri" w:cs="Calibri"/>
                <w:color w:val="000000"/>
                <w:sz w:val="18"/>
                <w:szCs w:val="18"/>
              </w:rPr>
              <w:t>Individuare collegamenti fra le varie aree disciplinari</w:t>
            </w: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  <w:tcBorders>
              <w:top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Opera autonomamente e in modo corretto e creativo collegamenti fra le diverse aree disciplinari, anche in relazione a problematiche complesse. </w:t>
            </w:r>
          </w:p>
        </w:tc>
        <w:tc>
          <w:tcPr>
            <w:tcW w:w="509" w:type="pct"/>
            <w:tcBorders>
              <w:top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44" w:type="pct"/>
            <w:tcBorders>
              <w:top w:val="double" w:sz="4" w:space="0" w:color="auto"/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3D1DE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Opera autonomamente e in modo corretto collegamenti coerenti fra le diverse aree disciplinari.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3D1DE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Opera con una certa autonomia collegamenti fra le diverse aree disciplinari.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3D1DE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Guidato riesce ad operare semplici collegamenti fra le diverse aree disciplinari. 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  <w:textDirection w:val="btL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ind w:left="113" w:right="113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tcBorders>
              <w:bottom w:val="doub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  <w:tcBorders>
              <w:bottom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9" w:type="pct"/>
            <w:tcBorders>
              <w:bottom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44" w:type="pct"/>
            <w:tcBorders>
              <w:left w:val="single" w:sz="4" w:space="0" w:color="auto"/>
              <w:bottom w:val="double" w:sz="4" w:space="0" w:color="auto"/>
            </w:tcBorders>
          </w:tcPr>
          <w:p w:rsidR="007D2C2F" w:rsidRPr="00716CF1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388"/>
        </w:trPr>
        <w:tc>
          <w:tcPr>
            <w:tcW w:w="587" w:type="pct"/>
            <w:vMerge w:val="restart"/>
            <w:vAlign w:val="center"/>
          </w:tcPr>
          <w:p w:rsidR="007D2C2F" w:rsidRPr="0082260C" w:rsidRDefault="007D2C2F" w:rsidP="00716C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4" w:hanging="218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Competenza digitale</w:t>
            </w:r>
          </w:p>
        </w:tc>
        <w:tc>
          <w:tcPr>
            <w:tcW w:w="453" w:type="pct"/>
            <w:vMerge w:val="restart"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Acquisire e interpretare l’informazione</w:t>
            </w:r>
          </w:p>
        </w:tc>
        <w:tc>
          <w:tcPr>
            <w:tcW w:w="512" w:type="pct"/>
            <w:vMerge w:val="restart"/>
            <w:tcBorders>
              <w:top w:val="double" w:sz="4" w:space="0" w:color="auto"/>
            </w:tcBorders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Capacità di</w:t>
            </w: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analizzare</w:t>
            </w: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l’informazione</w:t>
            </w: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Valutazione</w:t>
            </w: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dell’attendibilità e</w:t>
            </w: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2260C">
              <w:rPr>
                <w:rFonts w:ascii="Calibri" w:hAnsi="Calibri" w:cs="Calibri"/>
                <w:color w:val="000000"/>
                <w:sz w:val="18"/>
                <w:szCs w:val="18"/>
              </w:rPr>
              <w:t>dell’utilità</w:t>
            </w:r>
          </w:p>
        </w:tc>
        <w:tc>
          <w:tcPr>
            <w:tcW w:w="2595" w:type="pct"/>
            <w:tcBorders>
              <w:top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Analizza spontaneamente e autonomamente l’informazione, ricavata anche dalle più comuni </w:t>
            </w:r>
            <w:r w:rsidR="00065EC1">
              <w:rPr>
                <w:rFonts w:ascii="Calibri" w:hAnsi="Calibri" w:cs="Calibri"/>
                <w:color w:val="000000"/>
                <w:sz w:val="18"/>
                <w:szCs w:val="18"/>
              </w:rPr>
              <w:t>tecnologie della comunicazione.</w:t>
            </w: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Ne valuta consapevolmente l’attendibilità e l’utilità. </w:t>
            </w:r>
          </w:p>
        </w:tc>
        <w:tc>
          <w:tcPr>
            <w:tcW w:w="509" w:type="pct"/>
            <w:tcBorders>
              <w:top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44" w:type="pct"/>
            <w:tcBorders>
              <w:top w:val="double" w:sz="4" w:space="0" w:color="auto"/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336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99105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11B99">
              <w:rPr>
                <w:rFonts w:ascii="Calibri" w:hAnsi="Calibri" w:cs="Calibri"/>
                <w:color w:val="000000"/>
                <w:sz w:val="18"/>
                <w:szCs w:val="18"/>
              </w:rPr>
              <w:t>Analizza autonomamente l’informazione, ricavata anche dalle più comuni tecnologie della comunicazione. Cerca di valutarne l’attendibilità e l’utilità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218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99105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11B99">
              <w:rPr>
                <w:rFonts w:ascii="Calibri" w:hAnsi="Calibri" w:cs="Calibri"/>
                <w:color w:val="000000"/>
                <w:sz w:val="18"/>
                <w:szCs w:val="18"/>
              </w:rPr>
              <w:t>Stimolato/a analizza autonomamente l’informazione, ricavata anche dalle più comuni tecnologie della comunicazione. Cerca di valutarne l’attendibilità e l’utilità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335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99105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11B99">
              <w:rPr>
                <w:rFonts w:ascii="Calibri" w:hAnsi="Calibri" w:cs="Calibri"/>
                <w:color w:val="000000"/>
                <w:sz w:val="18"/>
                <w:szCs w:val="18"/>
              </w:rPr>
              <w:t>Deve essere guidato nella ricerca di informazioni richieste, ricavate anche dalle più comuni tecnologie della comunicazione.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216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tcBorders>
              <w:bottom w:val="double" w:sz="4" w:space="0" w:color="auto"/>
            </w:tcBorders>
            <w:vAlign w:val="center"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  <w:tcBorders>
              <w:bottom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9" w:type="pct"/>
            <w:tcBorders>
              <w:bottom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44" w:type="pct"/>
            <w:tcBorders>
              <w:left w:val="single" w:sz="4" w:space="0" w:color="auto"/>
              <w:bottom w:val="double" w:sz="4" w:space="0" w:color="auto"/>
            </w:tcBorders>
          </w:tcPr>
          <w:p w:rsidR="007D2C2F" w:rsidRPr="00716CF1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218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 w:val="restart"/>
            <w:tcBorders>
              <w:top w:val="double" w:sz="4" w:space="0" w:color="auto"/>
            </w:tcBorders>
            <w:vAlign w:val="center"/>
          </w:tcPr>
          <w:p w:rsidR="007D2C2F" w:rsidRPr="0082260C" w:rsidRDefault="007D2C2F" w:rsidP="004910B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:rsidR="007D2C2F" w:rsidRPr="00C11B99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11B99">
              <w:rPr>
                <w:rFonts w:ascii="Calibri" w:hAnsi="Calibri" w:cs="Calibri"/>
                <w:color w:val="000000"/>
                <w:sz w:val="18"/>
                <w:szCs w:val="18"/>
              </w:rPr>
              <w:t>Distinzione di fatti</w:t>
            </w:r>
          </w:p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11B99">
              <w:rPr>
                <w:rFonts w:ascii="Calibri" w:hAnsi="Calibri" w:cs="Calibri"/>
                <w:color w:val="000000"/>
                <w:sz w:val="18"/>
                <w:szCs w:val="18"/>
              </w:rPr>
              <w:t>e opinioni</w:t>
            </w:r>
          </w:p>
        </w:tc>
        <w:tc>
          <w:tcPr>
            <w:tcW w:w="2595" w:type="pct"/>
            <w:tcBorders>
              <w:top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Sa distinguere in modo corretto, preciso e riflessivo fatti e opinioni. </w:t>
            </w:r>
          </w:p>
        </w:tc>
        <w:tc>
          <w:tcPr>
            <w:tcW w:w="509" w:type="pct"/>
            <w:tcBorders>
              <w:top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Avanzato </w:t>
            </w:r>
          </w:p>
        </w:tc>
        <w:tc>
          <w:tcPr>
            <w:tcW w:w="344" w:type="pct"/>
            <w:tcBorders>
              <w:top w:val="double" w:sz="4" w:space="0" w:color="auto"/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6A468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>Sa distinguere in modo corretto fatti e opinioni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Intermedio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6A468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>Sa distinguere in modo abbastanza corretto fatti e opinioni principali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Base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</w:tcPr>
          <w:p w:rsidR="007D2C2F" w:rsidRPr="00AC0ACA" w:rsidRDefault="007D2C2F" w:rsidP="006A468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C0ACA">
              <w:rPr>
                <w:rFonts w:ascii="Calibri" w:hAnsi="Calibri" w:cs="Calibri"/>
                <w:color w:val="000000"/>
                <w:sz w:val="18"/>
                <w:szCs w:val="18"/>
              </w:rPr>
              <w:t>Deve essere guidato nella distinzione tra i fatti principali.</w:t>
            </w:r>
          </w:p>
        </w:tc>
        <w:tc>
          <w:tcPr>
            <w:tcW w:w="509" w:type="pct"/>
            <w:tcBorders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Iniziale</w:t>
            </w:r>
          </w:p>
        </w:tc>
        <w:tc>
          <w:tcPr>
            <w:tcW w:w="344" w:type="pct"/>
            <w:tcBorders>
              <w:left w:val="single" w:sz="4" w:space="0" w:color="auto"/>
            </w:tcBorders>
          </w:tcPr>
          <w:p w:rsidR="007D2C2F" w:rsidRDefault="007D2C2F" w:rsidP="004910B4">
            <w:pPr>
              <w:jc w:val="center"/>
            </w:pPr>
            <w:r w:rsidRPr="00DF4D00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  <w:tr w:rsidR="007D2C2F" w:rsidRPr="0082260C" w:rsidTr="007D2C2F">
        <w:trPr>
          <w:trHeight w:val="100"/>
        </w:trPr>
        <w:tc>
          <w:tcPr>
            <w:tcW w:w="587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53" w:type="pct"/>
            <w:vMerge/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2" w:type="pct"/>
            <w:vMerge/>
            <w:tcBorders>
              <w:bottom w:val="doub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95" w:type="pct"/>
            <w:tcBorders>
              <w:bottom w:val="double" w:sz="4" w:space="0" w:color="auto"/>
            </w:tcBorders>
          </w:tcPr>
          <w:p w:rsidR="007D2C2F" w:rsidRPr="00AC0ACA" w:rsidRDefault="007D2C2F" w:rsidP="004910B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9" w:type="pct"/>
            <w:tcBorders>
              <w:bottom w:val="double" w:sz="4" w:space="0" w:color="auto"/>
              <w:right w:val="single" w:sz="4" w:space="0" w:color="auto"/>
            </w:tcBorders>
          </w:tcPr>
          <w:p w:rsidR="007D2C2F" w:rsidRPr="0082260C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Non rilevata</w:t>
            </w:r>
          </w:p>
        </w:tc>
        <w:tc>
          <w:tcPr>
            <w:tcW w:w="344" w:type="pct"/>
            <w:tcBorders>
              <w:left w:val="single" w:sz="4" w:space="0" w:color="auto"/>
              <w:bottom w:val="double" w:sz="4" w:space="0" w:color="auto"/>
            </w:tcBorders>
          </w:tcPr>
          <w:p w:rsidR="007D2C2F" w:rsidRPr="00716CF1" w:rsidRDefault="007D2C2F" w:rsidP="004910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716CF1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⃝</w:t>
            </w:r>
          </w:p>
        </w:tc>
      </w:tr>
    </w:tbl>
    <w:p w:rsidR="00716CF1" w:rsidRDefault="00716CF1" w:rsidP="007D2C2F">
      <w:pPr>
        <w:autoSpaceDE w:val="0"/>
        <w:autoSpaceDN w:val="0"/>
        <w:adjustRightInd w:val="0"/>
        <w:ind w:right="-427"/>
        <w:jc w:val="both"/>
        <w:rPr>
          <w:sz w:val="12"/>
        </w:rPr>
      </w:pPr>
    </w:p>
    <w:sectPr w:rsidR="00716CF1" w:rsidSect="007D2C2F">
      <w:pgSz w:w="16838" w:h="11906" w:orient="landscape"/>
      <w:pgMar w:top="709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2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F1CF9"/>
    <w:multiLevelType w:val="hybridMultilevel"/>
    <w:tmpl w:val="70365122"/>
    <w:lvl w:ilvl="0" w:tplc="0410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CF1"/>
    <w:rsid w:val="00065EC1"/>
    <w:rsid w:val="000A7ABA"/>
    <w:rsid w:val="0024200F"/>
    <w:rsid w:val="00532DBA"/>
    <w:rsid w:val="00667763"/>
    <w:rsid w:val="00716CF1"/>
    <w:rsid w:val="007D2C2F"/>
    <w:rsid w:val="00962B7A"/>
    <w:rsid w:val="00E63C93"/>
    <w:rsid w:val="00EA2B4C"/>
    <w:rsid w:val="00EF0A49"/>
    <w:rsid w:val="00F45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0CA724-A120-4B8E-B69D-06FFEBA83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16C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716CF1"/>
    <w:pPr>
      <w:autoSpaceDE w:val="0"/>
      <w:autoSpaceDN w:val="0"/>
      <w:adjustRightInd w:val="0"/>
      <w:spacing w:after="0" w:line="240" w:lineRule="auto"/>
    </w:pPr>
    <w:rPr>
      <w:rFonts w:ascii="Bodoni MT" w:eastAsia="Times New Roman" w:hAnsi="Bodoni MT" w:cs="Bodoni MT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E5AA34-FDC4-4013-BE5F-E14104372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1295</Words>
  <Characters>7384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acer;Prof.ssa ROSARIA CASTALDO</dc:creator>
  <cp:lastModifiedBy>ARMANDO ALLOCCA</cp:lastModifiedBy>
  <cp:revision>2</cp:revision>
  <dcterms:created xsi:type="dcterms:W3CDTF">2020-06-04T09:59:00Z</dcterms:created>
  <dcterms:modified xsi:type="dcterms:W3CDTF">2020-06-04T09:59:00Z</dcterms:modified>
</cp:coreProperties>
</file>